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EA7BE" w14:textId="14C90F80" w:rsidR="008A700B" w:rsidRDefault="008A700B" w:rsidP="008A700B">
      <w:pPr>
        <w:spacing w:before="200" w:after="400"/>
        <w:jc w:val="center"/>
        <w:rPr>
          <w:rFonts w:ascii="Times New Roman" w:hAnsi="Times New Roman" w:cs="Times New Roman"/>
          <w:sz w:val="24"/>
          <w:szCs w:val="24"/>
        </w:rPr>
      </w:pPr>
      <w:r>
        <w:rPr>
          <w:rFonts w:ascii="Georgia" w:hAnsi="Georgia"/>
          <w:b/>
          <w:bCs/>
          <w:color w:val="292826"/>
          <w:sz w:val="60"/>
          <w:szCs w:val="60"/>
          <w:shd w:val="clear" w:color="auto" w:fill="FFFFFF"/>
        </w:rPr>
        <w:t>March 2021 BWC News from Sedgwick TPA</w:t>
      </w:r>
      <w:r>
        <w:rPr>
          <w:noProof/>
        </w:rPr>
        <mc:AlternateContent>
          <mc:Choice Requires="wps">
            <w:drawing>
              <wp:inline distT="0" distB="0" distL="0" distR="0" wp14:anchorId="78E34B5A" wp14:editId="0835D8C1">
                <wp:extent cx="190500" cy="276225"/>
                <wp:effectExtent l="0" t="0" r="0" b="0"/>
                <wp:docPr id="1" name="Rectangle 1" descr="https://lh6.googleusercontent.com/ddjafnPgnjfECuDsStJ0rV4YtymqUr3kEyQwPQkjpf004JHrRq5ozAHt7FOhnDmYJ0S4FcB3zaeQzjkXiKp5UPR62jlFH5nWjqBrUXvglt_yYVRgvbDDMXdTP8AV5QzuFDT6aLt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40DDA" id="Rectangle 1" o:spid="_x0000_s1026" alt="https://lh6.googleusercontent.com/ddjafnPgnjfECuDsStJ0rV4YtymqUr3kEyQwPQkjpf004JHrRq5ozAHt7FOhnDmYJ0S4FcB3zaeQzjkXiKp5UPR62jlFH5nWjqBrUXvglt_yYVRgvbDDMXdTP8AV5QzuFDT6aLtu" style="width:1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" filled="f" stroked="f">
                <o:lock v:ext="edit" aspectratio="t"/>
                <w10:anchorlock/>
              </v:rect>
            </w:pict>
          </mc:Fallback>
        </mc:AlternateContent>
      </w:r>
    </w:p>
    <w:p w14:paraId="0D05FB2B" w14:textId="77777777" w:rsidR="008A700B" w:rsidRDefault="008A700B" w:rsidP="008A700B">
      <w:pPr>
        <w:pStyle w:val="NoSpacing"/>
        <w:jc w:val="center"/>
        <w:rPr>
          <w:rFonts w:ascii="Georgia" w:hAnsi="Georgia"/>
          <w:i/>
          <w:iCs/>
          <w:sz w:val="28"/>
          <w:szCs w:val="28"/>
        </w:rPr>
      </w:pPr>
      <w:bookmarkStart w:id="0" w:name="_Hlk43293433"/>
      <w:r>
        <w:rPr>
          <w:rFonts w:ascii="Georgia" w:hAnsi="Georgia"/>
          <w:i/>
          <w:iCs/>
          <w:sz w:val="28"/>
          <w:szCs w:val="28"/>
        </w:rPr>
        <w:t xml:space="preserve">“If nothing changes, nothing changes.” </w:t>
      </w:r>
    </w:p>
    <w:p w14:paraId="39815D9D" w14:textId="77777777" w:rsidR="008A700B" w:rsidRDefault="008A700B" w:rsidP="008A700B">
      <w:pPr>
        <w:pStyle w:val="NoSpacing"/>
        <w:jc w:val="center"/>
        <w:rPr>
          <w:rFonts w:ascii="Arial" w:hAnsi="Arial" w:cs="Arial"/>
          <w:sz w:val="20"/>
          <w:szCs w:val="20"/>
        </w:rPr>
      </w:pPr>
      <w:r>
        <w:rPr>
          <w:rFonts w:ascii="Georgia" w:hAnsi="Georgia"/>
          <w:i/>
          <w:iCs/>
          <w:sz w:val="28"/>
          <w:szCs w:val="28"/>
        </w:rPr>
        <w:t>~unknown</w:t>
      </w:r>
    </w:p>
    <w:p w14:paraId="32F12455" w14:textId="77777777" w:rsidR="008A700B" w:rsidRDefault="008A700B" w:rsidP="008A700B">
      <w:pPr>
        <w:rPr>
          <w:rFonts w:ascii="Source Sans Pro" w:hAnsi="Source Sans Pro"/>
          <w:sz w:val="20"/>
          <w:szCs w:val="20"/>
        </w:rPr>
      </w:pPr>
      <w:bookmarkStart w:id="1" w:name="_Hlk62044177"/>
      <w:bookmarkStart w:id="2" w:name="_Hlk49243414"/>
      <w:bookmarkStart w:id="3" w:name="_Hlk44058014"/>
      <w:bookmarkStart w:id="4" w:name="_Hlk40867896"/>
      <w:bookmarkEnd w:id="0"/>
    </w:p>
    <w:p w14:paraId="680B919D" w14:textId="77777777" w:rsidR="008A700B" w:rsidRDefault="008A700B" w:rsidP="008A700B">
      <w:pPr>
        <w:rPr>
          <w:rFonts w:ascii="Source Sans Pro" w:hAnsi="Source Sans Pro"/>
          <w:sz w:val="20"/>
          <w:szCs w:val="20"/>
        </w:rPr>
      </w:pPr>
      <w:r>
        <w:rPr>
          <w:rFonts w:ascii="Source Sans Pro" w:hAnsi="Source Sans Pro"/>
          <w:sz w:val="20"/>
          <w:szCs w:val="20"/>
        </w:rPr>
        <w:t xml:space="preserve">We are excited to announce that </w:t>
      </w:r>
      <w:proofErr w:type="spellStart"/>
      <w:r>
        <w:rPr>
          <w:rFonts w:ascii="Source Sans Pro" w:hAnsi="Source Sans Pro"/>
          <w:sz w:val="20"/>
          <w:szCs w:val="20"/>
        </w:rPr>
        <w:t>CareWorks</w:t>
      </w:r>
      <w:proofErr w:type="spellEnd"/>
      <w:r>
        <w:rPr>
          <w:rFonts w:ascii="Source Sans Pro" w:hAnsi="Source Sans Pro"/>
          <w:sz w:val="20"/>
          <w:szCs w:val="20"/>
        </w:rPr>
        <w:t xml:space="preserve"> Comp TPA is now named </w:t>
      </w:r>
      <w:r>
        <w:rPr>
          <w:rFonts w:ascii="Source Sans Pro" w:hAnsi="Source Sans Pro"/>
          <w:b/>
          <w:bCs/>
          <w:sz w:val="20"/>
          <w:szCs w:val="20"/>
        </w:rPr>
        <w:t>Sedgwick TPA</w:t>
      </w:r>
      <w:r>
        <w:rPr>
          <w:rFonts w:ascii="Source Sans Pro" w:hAnsi="Source Sans Pro"/>
          <w:sz w:val="20"/>
          <w:szCs w:val="20"/>
        </w:rPr>
        <w:t xml:space="preserve"> as of March 1, 2021.  As </w:t>
      </w:r>
      <w:r>
        <w:rPr>
          <w:rFonts w:ascii="Source Sans Pro" w:hAnsi="Source Sans Pro"/>
          <w:b/>
          <w:bCs/>
          <w:sz w:val="20"/>
          <w:szCs w:val="20"/>
        </w:rPr>
        <w:t>Sedgwick TPA</w:t>
      </w:r>
      <w:r>
        <w:rPr>
          <w:rFonts w:ascii="Source Sans Pro" w:hAnsi="Source Sans Pro"/>
          <w:sz w:val="20"/>
          <w:szCs w:val="20"/>
        </w:rPr>
        <w:t>, our commitment to Ohio employers remains as strong as ever.  With more than 3,000 colleagues in Ohio, backed by the global resources and expertise of Sedgwick, we have the best claims solutions to help your business mitigate risk and reduce costs.</w:t>
      </w:r>
    </w:p>
    <w:p w14:paraId="1EDE31D8" w14:textId="77777777" w:rsidR="008A700B" w:rsidRDefault="008A700B" w:rsidP="008A700B">
      <w:pPr>
        <w:rPr>
          <w:rFonts w:ascii="Source Sans Pro" w:hAnsi="Source Sans Pro"/>
          <w:sz w:val="20"/>
          <w:szCs w:val="20"/>
        </w:rPr>
      </w:pPr>
    </w:p>
    <w:p w14:paraId="4D2ADDF8" w14:textId="77777777" w:rsidR="008A700B" w:rsidRDefault="008A700B" w:rsidP="008A700B">
      <w:pPr>
        <w:rPr>
          <w:rFonts w:ascii="Source Sans Pro" w:hAnsi="Source Sans Pro"/>
          <w:color w:val="202020"/>
          <w:sz w:val="20"/>
          <w:szCs w:val="20"/>
        </w:rPr>
      </w:pPr>
      <w:r>
        <w:rPr>
          <w:rFonts w:ascii="Source Sans Pro" w:hAnsi="Source Sans Pro"/>
          <w:sz w:val="20"/>
          <w:szCs w:val="20"/>
        </w:rPr>
        <w:t xml:space="preserve">As </w:t>
      </w:r>
      <w:r>
        <w:rPr>
          <w:rFonts w:ascii="Source Sans Pro" w:hAnsi="Source Sans Pro"/>
          <w:b/>
          <w:bCs/>
          <w:sz w:val="20"/>
          <w:szCs w:val="20"/>
        </w:rPr>
        <w:t>Sedgwick TPA</w:t>
      </w:r>
      <w:r>
        <w:rPr>
          <w:rFonts w:ascii="Source Sans Pro" w:hAnsi="Source Sans Pro"/>
          <w:sz w:val="20"/>
          <w:szCs w:val="20"/>
        </w:rPr>
        <w:t>, taking care of people is at the heart of everything we do, because caring counts</w:t>
      </w:r>
      <w:r>
        <w:rPr>
          <w:rFonts w:ascii="Source Sans Pro" w:hAnsi="Source Sans Pro"/>
          <w:color w:val="202020"/>
          <w:sz w:val="20"/>
          <w:szCs w:val="20"/>
        </w:rPr>
        <w:t xml:space="preserve">®.  Under the Sedgwick name, we will provide you with the best possible service and outcomes and deliver on our mission of taking care of you and your employees.  You can learn more about Sedgwick—a leading global provider of risk management and claims solutions—at </w:t>
      </w:r>
      <w:hyperlink r:id="rId5" w:history="1">
        <w:r>
          <w:rPr>
            <w:rStyle w:val="Hyperlink"/>
            <w:rFonts w:ascii="Source Sans Pro" w:hAnsi="Source Sans Pro"/>
            <w:sz w:val="20"/>
            <w:szCs w:val="20"/>
          </w:rPr>
          <w:t>Sedgwick.com</w:t>
        </w:r>
      </w:hyperlink>
      <w:r>
        <w:rPr>
          <w:rFonts w:ascii="Source Sans Pro" w:hAnsi="Source Sans Pro"/>
          <w:color w:val="202020"/>
          <w:sz w:val="20"/>
          <w:szCs w:val="20"/>
        </w:rPr>
        <w:t>.</w:t>
      </w:r>
    </w:p>
    <w:p w14:paraId="00925D45" w14:textId="77777777" w:rsidR="008A700B" w:rsidRDefault="008A700B" w:rsidP="008A700B">
      <w:pPr>
        <w:rPr>
          <w:rFonts w:ascii="Source Sans Pro" w:hAnsi="Source Sans Pro"/>
          <w:color w:val="202020"/>
          <w:sz w:val="20"/>
          <w:szCs w:val="20"/>
        </w:rPr>
      </w:pPr>
    </w:p>
    <w:p w14:paraId="0A10E24E" w14:textId="77777777" w:rsidR="008A700B" w:rsidRDefault="008A700B" w:rsidP="008A700B">
      <w:pPr>
        <w:pStyle w:val="Heading2"/>
        <w:shd w:val="clear" w:color="auto" w:fill="FFFFFF"/>
        <w:spacing w:before="0" w:after="150"/>
        <w:rPr>
          <w:rFonts w:ascii="Georgia" w:eastAsia="Times New Roman" w:hAnsi="Georgia"/>
          <w:b/>
          <w:bCs/>
          <w:color w:val="auto"/>
          <w:sz w:val="32"/>
          <w:szCs w:val="32"/>
        </w:rPr>
      </w:pPr>
      <w:r>
        <w:rPr>
          <w:rFonts w:ascii="Georgia" w:eastAsia="Times New Roman" w:hAnsi="Georgia"/>
          <w:b/>
          <w:bCs/>
          <w:color w:val="000000"/>
          <w:sz w:val="32"/>
          <w:szCs w:val="32"/>
        </w:rPr>
        <w:t>FREE March Webinar:  Managing Workers’ Comp in the Time of COVID-19</w:t>
      </w:r>
    </w:p>
    <w:p w14:paraId="44C693B1" w14:textId="77777777" w:rsidR="008A700B" w:rsidRDefault="008A700B" w:rsidP="008A700B">
      <w:pPr>
        <w:pStyle w:val="NoSpacing"/>
        <w:spacing w:after="240"/>
        <w:rPr>
          <w:rFonts w:ascii="Source Sans Pro" w:hAnsi="Source Sans Pro"/>
          <w:sz w:val="20"/>
          <w:szCs w:val="20"/>
        </w:rPr>
      </w:pPr>
      <w:r>
        <w:rPr>
          <w:rFonts w:ascii="Source Sans Pro" w:hAnsi="Source Sans Pro"/>
          <w:sz w:val="20"/>
          <w:szCs w:val="20"/>
        </w:rPr>
        <w:t xml:space="preserve">Everyone knows that these are “unprecedented times” and the pandemic has touched </w:t>
      </w:r>
      <w:proofErr w:type="gramStart"/>
      <w:r>
        <w:rPr>
          <w:rFonts w:ascii="Source Sans Pro" w:hAnsi="Source Sans Pro"/>
          <w:sz w:val="20"/>
          <w:szCs w:val="20"/>
        </w:rPr>
        <w:t>all of</w:t>
      </w:r>
      <w:proofErr w:type="gramEnd"/>
      <w:r>
        <w:rPr>
          <w:rFonts w:ascii="Source Sans Pro" w:hAnsi="Source Sans Pro"/>
          <w:sz w:val="20"/>
          <w:szCs w:val="20"/>
        </w:rPr>
        <w:t xml:space="preserve"> our lives in some way. We have gathered the current statistics on COVID-19 in OH along with the most frequently asked questions about how this pandemic impacts the way you manage your program. We will touch on topics from payroll reporting to claim allowance and issues involved with remote workers.</w:t>
      </w:r>
    </w:p>
    <w:p w14:paraId="111CCBFA" w14:textId="77777777" w:rsidR="008A700B" w:rsidRDefault="008A700B" w:rsidP="008A700B">
      <w:pPr>
        <w:pStyle w:val="NoSpacing"/>
        <w:rPr>
          <w:rFonts w:ascii="Source Sans Pro" w:hAnsi="Source Sans Pro"/>
          <w:sz w:val="20"/>
          <w:szCs w:val="20"/>
        </w:rPr>
      </w:pPr>
      <w:r>
        <w:rPr>
          <w:rFonts w:ascii="Source Sans Pro" w:hAnsi="Source Sans Pro"/>
          <w:b/>
          <w:bCs/>
          <w:sz w:val="20"/>
          <w:szCs w:val="20"/>
        </w:rPr>
        <w:t>WHEN:</w:t>
      </w:r>
      <w:r>
        <w:rPr>
          <w:rFonts w:ascii="Source Sans Pro" w:hAnsi="Source Sans Pro"/>
          <w:sz w:val="20"/>
          <w:szCs w:val="20"/>
        </w:rPr>
        <w:t>  Thursday, March 4, 2021 from 2pm-3pm EST</w:t>
      </w:r>
    </w:p>
    <w:p w14:paraId="18C9E960" w14:textId="77777777" w:rsidR="008A700B" w:rsidRDefault="008A700B" w:rsidP="008A700B">
      <w:pPr>
        <w:pStyle w:val="NoSpacing"/>
        <w:rPr>
          <w:rFonts w:ascii="Source Sans Pro" w:hAnsi="Source Sans Pro"/>
          <w:sz w:val="20"/>
          <w:szCs w:val="20"/>
        </w:rPr>
      </w:pPr>
      <w:r>
        <w:rPr>
          <w:rFonts w:ascii="Source Sans Pro" w:hAnsi="Source Sans Pro"/>
          <w:b/>
          <w:bCs/>
          <w:sz w:val="20"/>
          <w:szCs w:val="20"/>
        </w:rPr>
        <w:t>COST:</w:t>
      </w:r>
      <w:r>
        <w:rPr>
          <w:rFonts w:ascii="Source Sans Pro" w:hAnsi="Source Sans Pro"/>
          <w:sz w:val="20"/>
          <w:szCs w:val="20"/>
        </w:rPr>
        <w:t>  FREE</w:t>
      </w:r>
    </w:p>
    <w:p w14:paraId="150ABA28" w14:textId="77777777" w:rsidR="008A700B" w:rsidRDefault="008A700B" w:rsidP="008A700B">
      <w:pPr>
        <w:pStyle w:val="NoSpacing"/>
        <w:rPr>
          <w:rFonts w:ascii="Source Sans Pro" w:hAnsi="Source Sans Pro"/>
          <w:sz w:val="20"/>
          <w:szCs w:val="20"/>
        </w:rPr>
      </w:pPr>
      <w:r>
        <w:rPr>
          <w:rFonts w:ascii="Source Sans Pro" w:hAnsi="Source Sans Pro"/>
          <w:sz w:val="20"/>
          <w:szCs w:val="20"/>
        </w:rPr>
        <w:t xml:space="preserve">To register, click </w:t>
      </w:r>
      <w:hyperlink r:id="rId6" w:history="1">
        <w:r>
          <w:rPr>
            <w:rStyle w:val="Hyperlink"/>
            <w:rFonts w:ascii="Source Sans Pro" w:hAnsi="Source Sans Pro"/>
            <w:sz w:val="20"/>
            <w:szCs w:val="20"/>
          </w:rPr>
          <w:t>here</w:t>
        </w:r>
      </w:hyperlink>
      <w:r>
        <w:rPr>
          <w:rFonts w:ascii="Source Sans Pro" w:hAnsi="Source Sans Pro"/>
          <w:sz w:val="20"/>
          <w:szCs w:val="20"/>
        </w:rPr>
        <w:t>.</w:t>
      </w:r>
    </w:p>
    <w:p w14:paraId="57943F6F" w14:textId="77777777" w:rsidR="008A700B" w:rsidRDefault="008A700B" w:rsidP="008A700B">
      <w:pPr>
        <w:pStyle w:val="NoSpacing"/>
        <w:rPr>
          <w:rFonts w:ascii="Source Sans Pro" w:hAnsi="Source Sans Pro"/>
          <w:sz w:val="20"/>
          <w:szCs w:val="20"/>
        </w:rPr>
      </w:pPr>
    </w:p>
    <w:p w14:paraId="6D527A49" w14:textId="77777777" w:rsidR="008A700B" w:rsidRDefault="008A700B" w:rsidP="008A700B">
      <w:pPr>
        <w:rPr>
          <w:rFonts w:ascii="Source Sans Pro" w:hAnsi="Source Sans Pro"/>
          <w:sz w:val="20"/>
          <w:szCs w:val="20"/>
        </w:rPr>
      </w:pPr>
      <w:r>
        <w:rPr>
          <w:rFonts w:ascii="Source Sans Pro" w:hAnsi="Source Sans Pro"/>
          <w:color w:val="202020"/>
          <w:sz w:val="20"/>
          <w:szCs w:val="20"/>
          <w:shd w:val="clear" w:color="auto" w:fill="FFFFFF"/>
        </w:rPr>
        <w:t>This session has been certified by the Ohio Bureau of Workers’ Compensation (BWC) for one hour of the two-hour safety training requirement for group and group retrospective-rated employers. To be eligible for the BWC safety training requirement credit, the attendee must remain in the session for at least 75% of the total session time.  </w:t>
      </w:r>
      <w:r>
        <w:rPr>
          <w:rFonts w:ascii="Source Sans Pro" w:hAnsi="Source Sans Pro"/>
          <w:color w:val="202020"/>
          <w:sz w:val="20"/>
          <w:szCs w:val="20"/>
        </w:rPr>
        <w:br/>
      </w:r>
      <w:r>
        <w:rPr>
          <w:rFonts w:ascii="Source Sans Pro" w:hAnsi="Source Sans Pro"/>
          <w:color w:val="202020"/>
          <w:sz w:val="20"/>
          <w:szCs w:val="20"/>
          <w:shd w:val="clear" w:color="auto" w:fill="FFFFFF"/>
        </w:rPr>
        <w:t> </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A700B" w14:paraId="3DAB0345" w14:textId="77777777" w:rsidTr="008A700B">
        <w:tc>
          <w:tcPr>
            <w:tcW w:w="0" w:type="auto"/>
            <w:shd w:val="clear" w:color="auto" w:fill="FFFFFF"/>
            <w:vAlign w:val="center"/>
            <w:hideMark/>
          </w:tcPr>
          <w:p w14:paraId="102A311E" w14:textId="77777777" w:rsidR="008A700B" w:rsidRDefault="008A700B">
            <w:pPr>
              <w:rPr>
                <w:rFonts w:ascii="Source Sans Pro" w:hAnsi="Source Sans Pro"/>
                <w:color w:val="202020"/>
                <w:sz w:val="20"/>
                <w:szCs w:val="20"/>
              </w:rPr>
            </w:pPr>
            <w:r>
              <w:rPr>
                <w:rFonts w:ascii="Source Sans Pro" w:hAnsi="Source Sans Pro"/>
                <w:color w:val="202020"/>
                <w:sz w:val="20"/>
                <w:szCs w:val="20"/>
              </w:rPr>
              <w:t>Three business days prior to the webinar date, you will receive an email from </w:t>
            </w:r>
            <w:hyperlink r:id="rId7" w:tooltip="mailto:seminarrsvp@sedgwickcms.com" w:history="1">
              <w:r>
                <w:rPr>
                  <w:rStyle w:val="Hyperlink"/>
                  <w:rFonts w:ascii="Source Sans Pro" w:hAnsi="Source Sans Pro"/>
                  <w:color w:val="F28532"/>
                  <w:sz w:val="20"/>
                  <w:szCs w:val="20"/>
                </w:rPr>
                <w:t>seminarrsvp@sedgwick.com</w:t>
              </w:r>
            </w:hyperlink>
            <w:r>
              <w:rPr>
                <w:rFonts w:ascii="Source Sans Pro" w:hAnsi="Source Sans Pro"/>
                <w:color w:val="202020"/>
                <w:sz w:val="20"/>
                <w:szCs w:val="20"/>
              </w:rPr>
              <w:t>. The email will include detailed instructions on how to join the webinar along with a copy of the presentation (if applicable). Please be sure to add this email address to your Safe Sender email file to ensure receipt.</w:t>
            </w:r>
            <w:r>
              <w:rPr>
                <w:rFonts w:ascii="Source Sans Pro" w:hAnsi="Source Sans Pro"/>
                <w:color w:val="202020"/>
                <w:sz w:val="20"/>
                <w:szCs w:val="20"/>
              </w:rPr>
              <w:br/>
            </w:r>
            <w:r>
              <w:rPr>
                <w:rFonts w:ascii="Source Sans Pro" w:hAnsi="Source Sans Pro"/>
                <w:color w:val="202020"/>
                <w:sz w:val="20"/>
                <w:szCs w:val="20"/>
              </w:rPr>
              <w:br/>
              <w:t>If the 75% qualification is met for workers' compensation, we will send a certificate of attendance via email within 3 business days of the session date.</w:t>
            </w:r>
          </w:p>
        </w:tc>
      </w:tr>
    </w:tbl>
    <w:p w14:paraId="64A950D2" w14:textId="77777777" w:rsidR="008A700B" w:rsidRDefault="008A700B" w:rsidP="008A700B">
      <w:pPr>
        <w:rPr>
          <w:rFonts w:ascii="Source Sans Pro" w:hAnsi="Source Sans Pro"/>
          <w:sz w:val="20"/>
          <w:szCs w:val="20"/>
        </w:rPr>
      </w:pPr>
      <w:r>
        <w:rPr>
          <w:rFonts w:ascii="Source Sans Pro" w:hAnsi="Source Sans Pro"/>
          <w:b/>
          <w:bCs/>
          <w:color w:val="202020"/>
          <w:sz w:val="20"/>
          <w:szCs w:val="20"/>
          <w:shd w:val="clear" w:color="auto" w:fill="FFFFFF"/>
        </w:rPr>
        <w:t>Questions?</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A700B" w14:paraId="49A78305" w14:textId="77777777" w:rsidTr="008A700B">
        <w:tc>
          <w:tcPr>
            <w:tcW w:w="0" w:type="auto"/>
            <w:shd w:val="clear" w:color="auto" w:fill="FFFFFF"/>
            <w:vAlign w:val="center"/>
            <w:hideMark/>
          </w:tcPr>
          <w:p w14:paraId="4E8E7190" w14:textId="77777777" w:rsidR="008A700B" w:rsidRDefault="008A700B">
            <w:pPr>
              <w:rPr>
                <w:rFonts w:ascii="Source Sans Pro" w:hAnsi="Source Sans Pro"/>
                <w:color w:val="202020"/>
                <w:sz w:val="20"/>
                <w:szCs w:val="20"/>
              </w:rPr>
            </w:pPr>
            <w:r>
              <w:rPr>
                <w:rFonts w:ascii="Source Sans Pro" w:hAnsi="Source Sans Pro"/>
                <w:color w:val="202020"/>
                <w:sz w:val="20"/>
                <w:szCs w:val="20"/>
              </w:rPr>
              <w:t>For questions regarding a webinar, please email </w:t>
            </w:r>
            <w:hyperlink r:id="rId8" w:history="1">
              <w:r>
                <w:rPr>
                  <w:rStyle w:val="Hyperlink"/>
                  <w:rFonts w:ascii="Source Sans Pro" w:hAnsi="Source Sans Pro"/>
                  <w:color w:val="F28532"/>
                  <w:sz w:val="20"/>
                  <w:szCs w:val="20"/>
                </w:rPr>
                <w:t>seminarrsvp@sedgwick.com</w:t>
              </w:r>
            </w:hyperlink>
            <w:r>
              <w:rPr>
                <w:rFonts w:ascii="Source Sans Pro" w:hAnsi="Source Sans Pro"/>
                <w:color w:val="202020"/>
                <w:sz w:val="20"/>
                <w:szCs w:val="20"/>
              </w:rPr>
              <w:t>.</w:t>
            </w:r>
          </w:p>
        </w:tc>
      </w:tr>
    </w:tbl>
    <w:p w14:paraId="3A5A2B43" w14:textId="77777777" w:rsidR="008A700B" w:rsidRDefault="008A700B" w:rsidP="008A700B">
      <w:pPr>
        <w:pStyle w:val="Heading2"/>
        <w:shd w:val="clear" w:color="auto" w:fill="FFFFFF"/>
        <w:spacing w:before="0" w:after="150"/>
        <w:rPr>
          <w:rFonts w:ascii="Georgia" w:eastAsia="Times New Roman" w:hAnsi="Georgia"/>
          <w:b/>
          <w:bCs/>
          <w:color w:val="auto"/>
          <w:sz w:val="32"/>
          <w:szCs w:val="32"/>
        </w:rPr>
      </w:pPr>
    </w:p>
    <w:p w14:paraId="303A7804" w14:textId="77777777" w:rsidR="008A700B" w:rsidRDefault="008A700B" w:rsidP="008A700B">
      <w:pPr>
        <w:pStyle w:val="Heading2"/>
        <w:shd w:val="clear" w:color="auto" w:fill="FFFFFF"/>
        <w:spacing w:before="0" w:after="150"/>
        <w:rPr>
          <w:rFonts w:ascii="Georgia" w:eastAsia="Times New Roman" w:hAnsi="Georgia"/>
          <w:b/>
          <w:bCs/>
          <w:color w:val="888B8D"/>
          <w:sz w:val="32"/>
          <w:szCs w:val="32"/>
        </w:rPr>
      </w:pPr>
      <w:r>
        <w:rPr>
          <w:rFonts w:ascii="Georgia" w:eastAsia="Times New Roman" w:hAnsi="Georgia"/>
          <w:b/>
          <w:bCs/>
          <w:color w:val="000000"/>
          <w:sz w:val="32"/>
          <w:szCs w:val="32"/>
        </w:rPr>
        <w:t>Ohio BWC Safety Congress Registration Now Open</w:t>
      </w:r>
      <w:r>
        <w:rPr>
          <w:rFonts w:ascii="Georgia" w:eastAsia="Times New Roman" w:hAnsi="Georgia"/>
          <w:b/>
          <w:bCs/>
          <w:color w:val="888B8D"/>
          <w:sz w:val="32"/>
          <w:szCs w:val="32"/>
        </w:rPr>
        <w:t> </w:t>
      </w:r>
    </w:p>
    <w:p w14:paraId="4E1B00A7" w14:textId="77777777" w:rsidR="008A700B" w:rsidRDefault="008A700B" w:rsidP="008A700B">
      <w:pPr>
        <w:pStyle w:val="NoSpacing"/>
        <w:rPr>
          <w:rFonts w:ascii="Source Sans Pro" w:hAnsi="Source Sans Pro"/>
          <w:sz w:val="20"/>
          <w:szCs w:val="20"/>
        </w:rPr>
      </w:pPr>
      <w:r>
        <w:rPr>
          <w:rFonts w:ascii="Source Sans Pro" w:hAnsi="Source Sans Pro"/>
          <w:sz w:val="20"/>
          <w:szCs w:val="20"/>
        </w:rPr>
        <w:t>Registration is now open for the 2021 Ohio Safety Congress &amp; Expo (OSC21)! Due to the ongoing COVID-19 pandemic, OSC21 will be a completely online event, including our first-ever digital expo.</w:t>
      </w:r>
    </w:p>
    <w:p w14:paraId="7CF4E047" w14:textId="77777777" w:rsidR="008A700B" w:rsidRDefault="008A700B" w:rsidP="008A700B">
      <w:pPr>
        <w:pStyle w:val="NoSpacing"/>
        <w:rPr>
          <w:rFonts w:ascii="Source Sans Pro" w:hAnsi="Source Sans Pro"/>
          <w:sz w:val="20"/>
          <w:szCs w:val="20"/>
        </w:rPr>
      </w:pPr>
    </w:p>
    <w:p w14:paraId="594D0D49" w14:textId="77777777" w:rsidR="008A700B" w:rsidRDefault="008A700B" w:rsidP="008A700B">
      <w:pPr>
        <w:pStyle w:val="NoSpacing"/>
        <w:rPr>
          <w:rFonts w:ascii="Source Sans Pro" w:hAnsi="Source Sans Pro"/>
          <w:sz w:val="20"/>
          <w:szCs w:val="20"/>
        </w:rPr>
      </w:pPr>
      <w:r>
        <w:rPr>
          <w:rFonts w:ascii="Source Sans Pro" w:hAnsi="Source Sans Pro"/>
          <w:sz w:val="20"/>
          <w:szCs w:val="20"/>
        </w:rPr>
        <w:t>Visit the </w:t>
      </w:r>
      <w:hyperlink r:id="rId9" w:history="1">
        <w:r>
          <w:rPr>
            <w:rStyle w:val="Hyperlink"/>
            <w:rFonts w:ascii="Source Sans Pro" w:hAnsi="Source Sans Pro"/>
            <w:color w:val="44546A"/>
            <w:sz w:val="20"/>
            <w:szCs w:val="20"/>
          </w:rPr>
          <w:t>OSC21 website</w:t>
        </w:r>
      </w:hyperlink>
      <w:r>
        <w:rPr>
          <w:rFonts w:ascii="Source Sans Pro" w:hAnsi="Source Sans Pro"/>
          <w:sz w:val="20"/>
          <w:szCs w:val="20"/>
        </w:rPr>
        <w:t> for more information and to register for the event, which will stream live March 10-11, 2021. Now in its 91</w:t>
      </w:r>
      <w:r>
        <w:rPr>
          <w:rFonts w:ascii="Source Sans Pro" w:hAnsi="Source Sans Pro"/>
          <w:sz w:val="20"/>
          <w:szCs w:val="20"/>
          <w:vertAlign w:val="superscript"/>
        </w:rPr>
        <w:t>st</w:t>
      </w:r>
      <w:r>
        <w:rPr>
          <w:rFonts w:ascii="Source Sans Pro" w:hAnsi="Source Sans Pro"/>
          <w:sz w:val="20"/>
          <w:szCs w:val="20"/>
        </w:rPr>
        <w:t xml:space="preserve"> year, the Ohio Safety Congress &amp; Expo is the largest and longest-running regional occupational safety, </w:t>
      </w:r>
      <w:proofErr w:type="gramStart"/>
      <w:r>
        <w:rPr>
          <w:rFonts w:ascii="Source Sans Pro" w:hAnsi="Source Sans Pro"/>
          <w:sz w:val="20"/>
          <w:szCs w:val="20"/>
        </w:rPr>
        <w:t>health</w:t>
      </w:r>
      <w:proofErr w:type="gramEnd"/>
      <w:r>
        <w:rPr>
          <w:rFonts w:ascii="Source Sans Pro" w:hAnsi="Source Sans Pro"/>
          <w:sz w:val="20"/>
          <w:szCs w:val="20"/>
        </w:rPr>
        <w:t xml:space="preserve"> and workers’ compensation conference in the U.S. </w:t>
      </w:r>
    </w:p>
    <w:p w14:paraId="7C038F58" w14:textId="77777777" w:rsidR="008A700B" w:rsidRDefault="008A700B" w:rsidP="008A700B">
      <w:pPr>
        <w:pStyle w:val="NoSpacing"/>
        <w:rPr>
          <w:rFonts w:ascii="Source Sans Pro" w:hAnsi="Source Sans Pro"/>
          <w:sz w:val="20"/>
          <w:szCs w:val="20"/>
        </w:rPr>
      </w:pPr>
    </w:p>
    <w:p w14:paraId="2F9F1D67" w14:textId="77777777" w:rsidR="008A700B" w:rsidRDefault="008A700B" w:rsidP="008A700B">
      <w:pPr>
        <w:pStyle w:val="NoSpacing"/>
        <w:rPr>
          <w:rFonts w:ascii="Source Sans Pro" w:hAnsi="Source Sans Pro"/>
          <w:sz w:val="20"/>
          <w:szCs w:val="20"/>
        </w:rPr>
      </w:pPr>
      <w:r>
        <w:rPr>
          <w:rFonts w:ascii="Source Sans Pro" w:hAnsi="Source Sans Pro"/>
          <w:sz w:val="20"/>
          <w:szCs w:val="20"/>
        </w:rPr>
        <w:t>More than 4.000 representatives from Ohio businesses and government are expected to attend the event to discover the strategies and tools needed for a healthy, safe, and productive workforce. The event offers topics on organizational behavior, safety leadership, emerging trends, and mental health. Participants can visit the digital expo marketplace, compete in a scavenger hunt, download resources, earn attendance credit and chat with others.</w:t>
      </w:r>
    </w:p>
    <w:bookmarkEnd w:id="1"/>
    <w:p w14:paraId="0637CAC5" w14:textId="77777777" w:rsidR="008A700B" w:rsidRDefault="008A700B" w:rsidP="008A700B">
      <w:pPr>
        <w:rPr>
          <w:rFonts w:ascii="Georgia" w:hAnsi="Georgia"/>
          <w:b/>
          <w:bCs/>
          <w:sz w:val="16"/>
          <w:szCs w:val="16"/>
        </w:rPr>
      </w:pPr>
    </w:p>
    <w:p w14:paraId="256A8C95" w14:textId="77777777" w:rsidR="008A700B" w:rsidRDefault="008A700B" w:rsidP="008A700B">
      <w:pPr>
        <w:rPr>
          <w:rFonts w:ascii="Georgia" w:hAnsi="Georgia"/>
          <w:b/>
          <w:bCs/>
          <w:sz w:val="32"/>
          <w:szCs w:val="32"/>
        </w:rPr>
      </w:pPr>
      <w:r>
        <w:rPr>
          <w:rFonts w:ascii="Georgia" w:hAnsi="Georgia"/>
          <w:b/>
          <w:bCs/>
          <w:sz w:val="32"/>
          <w:szCs w:val="32"/>
        </w:rPr>
        <w:t xml:space="preserve">Working from Home:  Is Your Office Ergonomically Correct? </w:t>
      </w:r>
    </w:p>
    <w:p w14:paraId="039FFFA2" w14:textId="77777777" w:rsidR="008A700B" w:rsidRDefault="008A700B" w:rsidP="008A700B">
      <w:pPr>
        <w:rPr>
          <w:rFonts w:ascii="Source Sans Pro" w:hAnsi="Source Sans Pro"/>
          <w:sz w:val="20"/>
          <w:szCs w:val="20"/>
        </w:rPr>
      </w:pPr>
      <w:r>
        <w:rPr>
          <w:rFonts w:ascii="Source Sans Pro" w:hAnsi="Source Sans Pro"/>
          <w:sz w:val="20"/>
          <w:szCs w:val="20"/>
        </w:rPr>
        <w:t xml:space="preserve">Watch this </w:t>
      </w:r>
      <w:hyperlink r:id="rId10" w:history="1">
        <w:r>
          <w:rPr>
            <w:rStyle w:val="Hyperlink"/>
            <w:rFonts w:ascii="Source Sans Pro" w:hAnsi="Source Sans Pro"/>
            <w:sz w:val="20"/>
            <w:szCs w:val="20"/>
          </w:rPr>
          <w:t>video</w:t>
        </w:r>
      </w:hyperlink>
      <w:r>
        <w:rPr>
          <w:rFonts w:ascii="Source Sans Pro" w:hAnsi="Source Sans Pro"/>
          <w:sz w:val="20"/>
          <w:szCs w:val="20"/>
        </w:rPr>
        <w:t xml:space="preserve"> from the Ohio BWC’s Ergonomics Consultant Brad Ridenour</w:t>
      </w:r>
      <w:r>
        <w:rPr>
          <w:rFonts w:ascii="Georgia" w:hAnsi="Georgia"/>
          <w:b/>
          <w:bCs/>
          <w:sz w:val="32"/>
          <w:szCs w:val="32"/>
        </w:rPr>
        <w:t xml:space="preserve"> </w:t>
      </w:r>
      <w:r>
        <w:rPr>
          <w:rFonts w:ascii="Source Sans Pro" w:hAnsi="Source Sans Pro"/>
          <w:sz w:val="20"/>
          <w:szCs w:val="20"/>
        </w:rPr>
        <w:t xml:space="preserve">on how to set-up your home office so that it’s not putting unneeded strain on your back, knees or your eyes.  Brad offers tips for safely setting up your home office with items you may have on-hand.  </w:t>
      </w:r>
    </w:p>
    <w:p w14:paraId="2C1E929D" w14:textId="77777777" w:rsidR="008A700B" w:rsidRDefault="008A700B" w:rsidP="008A700B">
      <w:pPr>
        <w:rPr>
          <w:rFonts w:ascii="Source Sans Pro" w:hAnsi="Source Sans Pro"/>
          <w:sz w:val="20"/>
          <w:szCs w:val="20"/>
        </w:rPr>
      </w:pPr>
    </w:p>
    <w:p w14:paraId="2BEB63AF" w14:textId="77777777" w:rsidR="008A700B" w:rsidRDefault="008A700B" w:rsidP="008A700B">
      <w:pPr>
        <w:rPr>
          <w:rFonts w:ascii="Georgia" w:hAnsi="Georgia"/>
          <w:b/>
          <w:bCs/>
          <w:sz w:val="32"/>
          <w:szCs w:val="32"/>
        </w:rPr>
      </w:pPr>
      <w:r>
        <w:rPr>
          <w:rFonts w:ascii="Georgia" w:hAnsi="Georgia"/>
          <w:b/>
          <w:bCs/>
          <w:sz w:val="32"/>
          <w:szCs w:val="32"/>
        </w:rPr>
        <w:t>2-Hour Safety Training Requirement for 2020 Policy Year Deadline is 6/30/2021</w:t>
      </w:r>
    </w:p>
    <w:p w14:paraId="005BF177" w14:textId="77777777" w:rsidR="008A700B" w:rsidRDefault="008A700B" w:rsidP="008A700B">
      <w:pPr>
        <w:spacing w:after="120"/>
        <w:ind w:right="720"/>
        <w:rPr>
          <w:rFonts w:ascii="Source Sans Pro" w:hAnsi="Source Sans Pro"/>
          <w:b/>
          <w:bCs/>
          <w:i/>
          <w:iCs/>
          <w:color w:val="231F20"/>
          <w:sz w:val="20"/>
          <w:szCs w:val="20"/>
          <w:highlight w:val="white"/>
          <w:u w:val="single"/>
        </w:rPr>
      </w:pPr>
      <w:r>
        <w:rPr>
          <w:rFonts w:ascii="Source Sans Pro" w:hAnsi="Source Sans Pro"/>
          <w:b/>
          <w:bCs/>
          <w:i/>
          <w:iCs/>
          <w:color w:val="231F20"/>
          <w:sz w:val="20"/>
          <w:szCs w:val="20"/>
          <w:highlight w:val="white"/>
          <w:u w:val="single"/>
        </w:rPr>
        <w:t>2020 Rating Year—BWC Rule—ORC 4123-17-68</w:t>
      </w:r>
    </w:p>
    <w:p w14:paraId="624B213E" w14:textId="77777777" w:rsidR="008A700B" w:rsidRDefault="008A700B" w:rsidP="008A700B">
      <w:pPr>
        <w:spacing w:after="120"/>
        <w:ind w:right="720"/>
        <w:rPr>
          <w:rFonts w:ascii="Source Sans Pro" w:hAnsi="Source Sans Pro"/>
          <w:sz w:val="20"/>
          <w:szCs w:val="20"/>
        </w:rPr>
      </w:pPr>
      <w:r>
        <w:rPr>
          <w:rFonts w:ascii="Source Sans Pro" w:hAnsi="Source Sans Pro"/>
          <w:color w:val="231F20"/>
          <w:sz w:val="20"/>
          <w:szCs w:val="20"/>
          <w:highlight w:val="white"/>
        </w:rPr>
        <w:t xml:space="preserve">Group Rated and Group Retro Rated employers who have had a claim from </w:t>
      </w:r>
      <w:r>
        <w:rPr>
          <w:rFonts w:ascii="Source Sans Pro" w:hAnsi="Source Sans Pro"/>
          <w:color w:val="231F20"/>
          <w:sz w:val="20"/>
          <w:szCs w:val="20"/>
          <w:highlight w:val="white"/>
          <w:u w:val="single"/>
        </w:rPr>
        <w:t>July 1, 2018 through September 30, 2019</w:t>
      </w:r>
      <w:r>
        <w:rPr>
          <w:rFonts w:ascii="Source Sans Pro" w:hAnsi="Source Sans Pro"/>
          <w:color w:val="231F20"/>
          <w:sz w:val="20"/>
          <w:szCs w:val="20"/>
          <w:highlight w:val="white"/>
        </w:rPr>
        <w:t xml:space="preserve">, </w:t>
      </w:r>
      <w:proofErr w:type="gramStart"/>
      <w:r>
        <w:rPr>
          <w:rFonts w:ascii="Source Sans Pro" w:hAnsi="Source Sans Pro"/>
          <w:color w:val="231F20"/>
          <w:sz w:val="20"/>
          <w:szCs w:val="20"/>
          <w:highlight w:val="white"/>
        </w:rPr>
        <w:t>have to</w:t>
      </w:r>
      <w:proofErr w:type="gramEnd"/>
      <w:r>
        <w:rPr>
          <w:rFonts w:ascii="Source Sans Pro" w:hAnsi="Source Sans Pro"/>
          <w:color w:val="231F20"/>
          <w:sz w:val="20"/>
          <w:szCs w:val="20"/>
          <w:highlight w:val="white"/>
        </w:rPr>
        <w:t xml:space="preserve"> complete a required two hours of safety training by </w:t>
      </w:r>
      <w:r>
        <w:rPr>
          <w:rFonts w:ascii="Source Sans Pro" w:hAnsi="Source Sans Pro"/>
          <w:color w:val="231F20"/>
          <w:sz w:val="20"/>
          <w:szCs w:val="20"/>
          <w:highlight w:val="white"/>
          <w:u w:val="single"/>
        </w:rPr>
        <w:t>June 30, 2021</w:t>
      </w:r>
      <w:r>
        <w:rPr>
          <w:rFonts w:ascii="Source Sans Pro" w:hAnsi="Source Sans Pro"/>
          <w:color w:val="231F20"/>
          <w:sz w:val="20"/>
          <w:szCs w:val="20"/>
          <w:highlight w:val="white"/>
        </w:rPr>
        <w:t xml:space="preserve">.   BWC’s requirement applies to any allowed claim an employer had from </w:t>
      </w:r>
      <w:r>
        <w:rPr>
          <w:rFonts w:ascii="Source Sans Pro" w:hAnsi="Source Sans Pro"/>
          <w:color w:val="231F20"/>
          <w:sz w:val="20"/>
          <w:szCs w:val="20"/>
          <w:highlight w:val="white"/>
          <w:u w:val="single"/>
        </w:rPr>
        <w:t>7/1/18-9/30/19</w:t>
      </w:r>
      <w:r>
        <w:rPr>
          <w:rFonts w:ascii="Source Sans Pro" w:hAnsi="Source Sans Pro"/>
          <w:color w:val="231F20"/>
          <w:sz w:val="20"/>
          <w:szCs w:val="20"/>
          <w:highlight w:val="white"/>
        </w:rPr>
        <w:t xml:space="preserve">, regardless of size or severity. Two hours is the minimum amount of safety training mandated by the BWC.  Only one person from the employer needs to take this safety training.  If an employer experienced more than one claim within this period, they are still only obligated to attend two hours of safety training.  If an employer has multiple policy numbers, they must attend two hours of safety training per policy.  </w:t>
      </w:r>
      <w:r>
        <w:rPr>
          <w:rFonts w:ascii="Source Sans Pro" w:hAnsi="Source Sans Pro"/>
          <w:sz w:val="20"/>
          <w:szCs w:val="20"/>
        </w:rPr>
        <w:t xml:space="preserve">For more information about all the Ohio BWC’s training opportunities, visit the BWC’s Learning Center at:   </w:t>
      </w:r>
      <w:hyperlink r:id="rId11" w:history="1">
        <w:r>
          <w:rPr>
            <w:rStyle w:val="Hyperlink"/>
            <w:rFonts w:ascii="Source Sans Pro" w:hAnsi="Source Sans Pro"/>
            <w:sz w:val="20"/>
            <w:szCs w:val="20"/>
          </w:rPr>
          <w:t>BWC Learning Center Login</w:t>
        </w:r>
      </w:hyperlink>
    </w:p>
    <w:p w14:paraId="77473E82" w14:textId="77777777" w:rsidR="008A700B" w:rsidRDefault="008A700B" w:rsidP="008A700B">
      <w:pPr>
        <w:pStyle w:val="NoSpacing"/>
        <w:rPr>
          <w:rFonts w:ascii="Source Sans Pro" w:hAnsi="Source Sans Pro"/>
          <w:b/>
          <w:bCs/>
          <w:sz w:val="20"/>
          <w:szCs w:val="20"/>
        </w:rPr>
      </w:pPr>
    </w:p>
    <w:bookmarkEnd w:id="2"/>
    <w:bookmarkEnd w:id="3"/>
    <w:bookmarkEnd w:id="4"/>
    <w:p w14:paraId="0335FA8A" w14:textId="77777777" w:rsidR="008A700B" w:rsidRDefault="008A700B" w:rsidP="008A700B">
      <w:pPr>
        <w:pStyle w:val="Heading1"/>
        <w:spacing w:before="0" w:after="150"/>
        <w:rPr>
          <w:rFonts w:ascii="Georgia" w:eastAsia="Times New Roman" w:hAnsi="Georgia"/>
          <w:b/>
          <w:bCs/>
          <w:sz w:val="32"/>
          <w:szCs w:val="32"/>
          <w:lang w:val="en"/>
        </w:rPr>
      </w:pPr>
      <w:r>
        <w:rPr>
          <w:rFonts w:ascii="Georgia" w:eastAsia="Times New Roman" w:hAnsi="Georgia"/>
          <w:b/>
          <w:bCs/>
          <w:sz w:val="32"/>
          <w:szCs w:val="32"/>
          <w:lang w:val="en"/>
        </w:rPr>
        <w:t>Deadline extended for HVAC assistance program</w:t>
      </w:r>
    </w:p>
    <w:p w14:paraId="48D9369B" w14:textId="77777777" w:rsidR="008A700B" w:rsidRDefault="008A700B" w:rsidP="008A700B">
      <w:pPr>
        <w:autoSpaceDE w:val="0"/>
        <w:autoSpaceDN w:val="0"/>
        <w:rPr>
          <w:rStyle w:val="Hyperlink"/>
          <w:rFonts w:ascii="Source Sans Pro" w:hAnsi="Source Sans Pro"/>
          <w:sz w:val="20"/>
          <w:szCs w:val="20"/>
        </w:rPr>
      </w:pPr>
      <w:r>
        <w:rPr>
          <w:rFonts w:ascii="Source Sans Pro" w:hAnsi="Source Sans Pro"/>
          <w:sz w:val="20"/>
          <w:szCs w:val="20"/>
        </w:rPr>
        <w:t xml:space="preserve">The Ohio BWC has extended their deadline to apply for reimbursement for eligible expenses under their COVID-19 Indoor Air Quality Assistance Program to March 31, 2021. This federally funded program provides reimbursement for nursing homes, assisted living centers, and adult day centers that invest in air quality improvements that reduce the spread of COVID-19. This may include the costs of inspections, assessments, maintenance, and improvements to indoor heating, ventilation, and air conditioning (HVAC) systems. It also provides reimbursement for secondary devices designed to destroy bacteria, mold, and viruses. </w:t>
      </w:r>
      <w:hyperlink r:id="rId12" w:history="1">
        <w:r>
          <w:rPr>
            <w:rStyle w:val="Hyperlink"/>
            <w:rFonts w:ascii="Source Sans Pro" w:hAnsi="Source Sans Pro"/>
            <w:sz w:val="20"/>
            <w:szCs w:val="20"/>
          </w:rPr>
          <w:t>Read more, including eligibility requirements, on the BWC’s website.</w:t>
        </w:r>
      </w:hyperlink>
    </w:p>
    <w:p w14:paraId="5010B42C" w14:textId="77777777" w:rsidR="008A700B" w:rsidRDefault="008A700B" w:rsidP="008A700B">
      <w:pPr>
        <w:autoSpaceDE w:val="0"/>
        <w:autoSpaceDN w:val="0"/>
        <w:rPr>
          <w:rStyle w:val="Hyperlink"/>
          <w:rFonts w:ascii="Source Sans Pro" w:hAnsi="Source Sans Pro"/>
          <w:sz w:val="20"/>
          <w:szCs w:val="20"/>
        </w:rPr>
      </w:pPr>
    </w:p>
    <w:p w14:paraId="76CF7F27" w14:textId="77777777" w:rsidR="008A700B" w:rsidRDefault="008A700B" w:rsidP="008A700B">
      <w:pPr>
        <w:autoSpaceDE w:val="0"/>
        <w:autoSpaceDN w:val="0"/>
        <w:rPr>
          <w:rStyle w:val="Hyperlink"/>
          <w:rFonts w:ascii="Georgia" w:hAnsi="Georgia"/>
          <w:b/>
          <w:bCs/>
          <w:sz w:val="32"/>
          <w:szCs w:val="32"/>
        </w:rPr>
      </w:pPr>
    </w:p>
    <w:p w14:paraId="2BDCE0FD" w14:textId="7E57511B" w:rsidR="008A700B" w:rsidRDefault="008A700B" w:rsidP="008A700B">
      <w:pPr>
        <w:autoSpaceDE w:val="0"/>
        <w:autoSpaceDN w:val="0"/>
        <w:rPr>
          <w:rStyle w:val="Hyperlink"/>
          <w:rFonts w:ascii="Georgia" w:hAnsi="Georgia"/>
          <w:b/>
          <w:bCs/>
          <w:sz w:val="32"/>
          <w:szCs w:val="32"/>
        </w:rPr>
      </w:pPr>
      <w:r>
        <w:rPr>
          <w:rStyle w:val="Hyperlink"/>
          <w:rFonts w:ascii="Georgia" w:hAnsi="Georgia"/>
          <w:b/>
          <w:bCs/>
          <w:sz w:val="32"/>
          <w:szCs w:val="32"/>
        </w:rPr>
        <w:lastRenderedPageBreak/>
        <w:t>Good to Know:  Ohio BWC Division of Safety &amp; Hygiene</w:t>
      </w:r>
    </w:p>
    <w:p w14:paraId="53B01E0E" w14:textId="77777777" w:rsidR="008A700B" w:rsidRDefault="008A700B" w:rsidP="008A700B">
      <w:pPr>
        <w:autoSpaceDE w:val="0"/>
        <w:autoSpaceDN w:val="0"/>
        <w:rPr>
          <w:rStyle w:val="Hyperlink"/>
          <w:rFonts w:ascii="Source Sans Pro" w:hAnsi="Source Sans Pro"/>
          <w:b/>
          <w:bCs/>
          <w:sz w:val="20"/>
          <w:szCs w:val="20"/>
        </w:rPr>
      </w:pPr>
    </w:p>
    <w:p w14:paraId="267DD841" w14:textId="77777777" w:rsidR="008A700B" w:rsidRDefault="008A700B" w:rsidP="008A700B">
      <w:pPr>
        <w:autoSpaceDE w:val="0"/>
        <w:autoSpaceDN w:val="0"/>
        <w:rPr>
          <w:rStyle w:val="Hyperlink"/>
          <w:rFonts w:ascii="Source Sans Pro" w:hAnsi="Source Sans Pro"/>
          <w:sz w:val="20"/>
          <w:szCs w:val="20"/>
        </w:rPr>
      </w:pPr>
      <w:r>
        <w:rPr>
          <w:rStyle w:val="Hyperlink"/>
          <w:rFonts w:ascii="Source Sans Pro" w:hAnsi="Source Sans Pro"/>
          <w:sz w:val="20"/>
          <w:szCs w:val="20"/>
        </w:rPr>
        <w:t xml:space="preserve">Are you trying to reduce injuries in your workplace?  Are you concerned about your employees’ health and wellbeing?  Then be sure to check out all that the Ohio BWC’s Division of Safety &amp; Hygiene (“DSH”) can do for you as an Ohio employer!  The DSH offers free consultation services on safety, industrial hygiene, or ergonomics, as well as training, and they even have a library filled with education videos and materials.  For more information, be sure to check the DSH out </w:t>
      </w:r>
      <w:hyperlink r:id="rId13" w:history="1">
        <w:r>
          <w:rPr>
            <w:rStyle w:val="Hyperlink"/>
            <w:rFonts w:ascii="Source Sans Pro" w:hAnsi="Source Sans Pro"/>
            <w:sz w:val="20"/>
            <w:szCs w:val="20"/>
          </w:rPr>
          <w:t>here</w:t>
        </w:r>
      </w:hyperlink>
      <w:r>
        <w:rPr>
          <w:rStyle w:val="Hyperlink"/>
          <w:rFonts w:ascii="Source Sans Pro" w:hAnsi="Source Sans Pro"/>
          <w:sz w:val="20"/>
          <w:szCs w:val="20"/>
        </w:rPr>
        <w:t xml:space="preserve">. </w:t>
      </w:r>
    </w:p>
    <w:p w14:paraId="44DDEEEF" w14:textId="77777777" w:rsidR="008A700B" w:rsidRDefault="008A700B" w:rsidP="008A700B">
      <w:pPr>
        <w:autoSpaceDE w:val="0"/>
        <w:autoSpaceDN w:val="0"/>
        <w:rPr>
          <w:rStyle w:val="Hyperlink"/>
          <w:rFonts w:ascii="Source Sans Pro" w:hAnsi="Source Sans Pro"/>
          <w:sz w:val="20"/>
          <w:szCs w:val="20"/>
        </w:rPr>
      </w:pPr>
    </w:p>
    <w:p w14:paraId="11241EF1" w14:textId="77777777" w:rsidR="008A700B" w:rsidRDefault="008A700B" w:rsidP="008A700B">
      <w:pPr>
        <w:autoSpaceDE w:val="0"/>
        <w:autoSpaceDN w:val="0"/>
        <w:rPr>
          <w:rStyle w:val="Hyperlink"/>
          <w:rFonts w:ascii="Georgia" w:hAnsi="Georgia"/>
          <w:b/>
          <w:bCs/>
          <w:sz w:val="32"/>
          <w:szCs w:val="32"/>
        </w:rPr>
      </w:pPr>
      <w:r>
        <w:rPr>
          <w:rStyle w:val="Hyperlink"/>
          <w:rFonts w:ascii="Georgia" w:hAnsi="Georgia"/>
          <w:b/>
          <w:bCs/>
          <w:sz w:val="32"/>
          <w:szCs w:val="32"/>
        </w:rPr>
        <w:t>Important Deadlines:</w:t>
      </w:r>
    </w:p>
    <w:p w14:paraId="31C3CE68" w14:textId="77777777" w:rsidR="008A700B" w:rsidRDefault="008A700B" w:rsidP="008A700B">
      <w:pPr>
        <w:pStyle w:val="ListParagraph"/>
        <w:numPr>
          <w:ilvl w:val="0"/>
          <w:numId w:val="1"/>
        </w:numPr>
        <w:autoSpaceDE w:val="0"/>
        <w:autoSpaceDN w:val="0"/>
        <w:spacing w:after="0" w:line="240" w:lineRule="auto"/>
        <w:rPr>
          <w:rStyle w:val="Hyperlink"/>
          <w:rFonts w:ascii="Source Sans Pro" w:eastAsia="Times New Roman" w:hAnsi="Source Sans Pro"/>
          <w:sz w:val="20"/>
          <w:szCs w:val="20"/>
        </w:rPr>
      </w:pPr>
      <w:r>
        <w:rPr>
          <w:rStyle w:val="Hyperlink"/>
          <w:rFonts w:ascii="Source Sans Pro" w:eastAsia="Times New Roman" w:hAnsi="Source Sans Pro"/>
          <w:b/>
          <w:bCs/>
          <w:sz w:val="20"/>
          <w:szCs w:val="20"/>
        </w:rPr>
        <w:t>March 21, 2021:</w:t>
      </w:r>
      <w:r>
        <w:rPr>
          <w:rStyle w:val="Hyperlink"/>
          <w:rFonts w:ascii="Source Sans Pro" w:eastAsia="Times New Roman" w:hAnsi="Source Sans Pro"/>
          <w:sz w:val="20"/>
          <w:szCs w:val="20"/>
        </w:rPr>
        <w:t xml:space="preserve">  </w:t>
      </w:r>
      <w:r>
        <w:rPr>
          <w:rFonts w:ascii="Source Sans Pro" w:eastAsia="Times New Roman" w:hAnsi="Source Sans Pro"/>
          <w:sz w:val="20"/>
          <w:szCs w:val="20"/>
        </w:rPr>
        <w:t>BWC premium installment due if your company is on a Monthly or Quarterly installment plan with the Ohio BWC.</w:t>
      </w:r>
    </w:p>
    <w:p w14:paraId="3FD230DE" w14:textId="77777777" w:rsidR="008A700B" w:rsidRDefault="008A700B" w:rsidP="008A700B">
      <w:pPr>
        <w:pStyle w:val="ListParagraph"/>
        <w:numPr>
          <w:ilvl w:val="0"/>
          <w:numId w:val="1"/>
        </w:numPr>
        <w:autoSpaceDE w:val="0"/>
        <w:autoSpaceDN w:val="0"/>
        <w:spacing w:after="0" w:line="240" w:lineRule="auto"/>
        <w:rPr>
          <w:rStyle w:val="Hyperlink"/>
          <w:rFonts w:ascii="Source Sans Pro" w:eastAsia="Times New Roman" w:hAnsi="Source Sans Pro"/>
          <w:sz w:val="20"/>
          <w:szCs w:val="20"/>
        </w:rPr>
      </w:pPr>
      <w:r>
        <w:rPr>
          <w:rStyle w:val="Hyperlink"/>
          <w:rFonts w:ascii="Source Sans Pro" w:eastAsia="Times New Roman" w:hAnsi="Source Sans Pro"/>
          <w:b/>
          <w:bCs/>
          <w:sz w:val="20"/>
          <w:szCs w:val="20"/>
        </w:rPr>
        <w:t xml:space="preserve">March 31, 2021:  </w:t>
      </w:r>
      <w:r>
        <w:rPr>
          <w:rStyle w:val="Hyperlink"/>
          <w:rFonts w:ascii="Source Sans Pro" w:eastAsia="Times New Roman" w:hAnsi="Source Sans Pro"/>
          <w:sz w:val="20"/>
          <w:szCs w:val="20"/>
        </w:rPr>
        <w:t>One Claim Program (OCP) training requirement deadline for the July 1, 2020 – June 30, 2021 policy year.</w:t>
      </w:r>
    </w:p>
    <w:p w14:paraId="7DA97A41" w14:textId="77777777" w:rsidR="008A700B" w:rsidRDefault="008A700B" w:rsidP="008A700B">
      <w:pPr>
        <w:pStyle w:val="ListParagraph"/>
        <w:numPr>
          <w:ilvl w:val="0"/>
          <w:numId w:val="1"/>
        </w:numPr>
        <w:autoSpaceDE w:val="0"/>
        <w:autoSpaceDN w:val="0"/>
        <w:spacing w:after="0" w:line="240" w:lineRule="auto"/>
        <w:rPr>
          <w:rStyle w:val="Hyperlink"/>
          <w:rFonts w:ascii="Source Sans Pro" w:eastAsia="Times New Roman" w:hAnsi="Source Sans Pro"/>
          <w:sz w:val="20"/>
          <w:szCs w:val="20"/>
        </w:rPr>
      </w:pPr>
      <w:r>
        <w:rPr>
          <w:rStyle w:val="Hyperlink"/>
          <w:rFonts w:ascii="Source Sans Pro" w:eastAsia="Times New Roman" w:hAnsi="Source Sans Pro"/>
          <w:b/>
          <w:bCs/>
          <w:sz w:val="20"/>
          <w:szCs w:val="20"/>
        </w:rPr>
        <w:t>March 31, 2021:</w:t>
      </w:r>
      <w:r>
        <w:rPr>
          <w:rStyle w:val="Hyperlink"/>
          <w:rFonts w:ascii="Source Sans Pro" w:eastAsia="Times New Roman" w:hAnsi="Source Sans Pro"/>
          <w:sz w:val="20"/>
          <w:szCs w:val="20"/>
        </w:rPr>
        <w:t>  DFSP Annual Report due for the July 1, 2020 policy year start date.</w:t>
      </w:r>
    </w:p>
    <w:p w14:paraId="69C405FF" w14:textId="77777777" w:rsidR="008A700B" w:rsidRDefault="008A700B" w:rsidP="008A700B">
      <w:pPr>
        <w:pStyle w:val="ListParagraph"/>
        <w:numPr>
          <w:ilvl w:val="0"/>
          <w:numId w:val="1"/>
        </w:numPr>
        <w:autoSpaceDE w:val="0"/>
        <w:autoSpaceDN w:val="0"/>
        <w:spacing w:after="0" w:line="240" w:lineRule="auto"/>
        <w:rPr>
          <w:rStyle w:val="Hyperlink"/>
          <w:rFonts w:ascii="Source Sans Pro" w:eastAsia="Times New Roman" w:hAnsi="Source Sans Pro"/>
          <w:sz w:val="20"/>
          <w:szCs w:val="20"/>
        </w:rPr>
      </w:pPr>
      <w:r>
        <w:rPr>
          <w:rStyle w:val="Hyperlink"/>
          <w:rFonts w:ascii="Source Sans Pro" w:eastAsia="Times New Roman" w:hAnsi="Source Sans Pro"/>
          <w:b/>
          <w:bCs/>
          <w:sz w:val="20"/>
          <w:szCs w:val="20"/>
        </w:rPr>
        <w:t>March 31, 2021:</w:t>
      </w:r>
      <w:r>
        <w:rPr>
          <w:rStyle w:val="Hyperlink"/>
          <w:rFonts w:ascii="Source Sans Pro" w:eastAsia="Times New Roman" w:hAnsi="Source Sans Pro"/>
          <w:sz w:val="20"/>
          <w:szCs w:val="20"/>
        </w:rPr>
        <w:t>  EM Cap Safety Requirements deadline.</w:t>
      </w:r>
    </w:p>
    <w:p w14:paraId="2027078B" w14:textId="77777777" w:rsidR="008A700B" w:rsidRDefault="008A700B" w:rsidP="008A700B">
      <w:pPr>
        <w:autoSpaceDE w:val="0"/>
        <w:autoSpaceDN w:val="0"/>
        <w:ind w:left="360"/>
        <w:rPr>
          <w:rStyle w:val="Hyperlink"/>
          <w:rFonts w:ascii="Source Sans Pro" w:hAnsi="Source Sans Pro"/>
          <w:sz w:val="20"/>
          <w:szCs w:val="20"/>
        </w:rPr>
      </w:pPr>
    </w:p>
    <w:p w14:paraId="4E6789E9" w14:textId="77777777" w:rsidR="00071DCA" w:rsidRDefault="00071DCA"/>
    <w:sectPr w:rsidR="00071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A4EA8"/>
    <w:multiLevelType w:val="hybridMultilevel"/>
    <w:tmpl w:val="3F04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0B"/>
    <w:rsid w:val="00071DCA"/>
    <w:rsid w:val="008A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2AAF"/>
  <w15:chartTrackingRefBased/>
  <w15:docId w15:val="{0F31CF2B-94D1-49F7-9741-9F36CA67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00B"/>
    <w:pPr>
      <w:spacing w:after="0" w:line="240" w:lineRule="auto"/>
    </w:pPr>
    <w:rPr>
      <w:rFonts w:ascii="Calibri" w:hAnsi="Calibri" w:cs="Calibri"/>
    </w:rPr>
  </w:style>
  <w:style w:type="paragraph" w:styleId="Heading1">
    <w:name w:val="heading 1"/>
    <w:basedOn w:val="Normal"/>
    <w:link w:val="Heading1Char"/>
    <w:uiPriority w:val="9"/>
    <w:qFormat/>
    <w:rsid w:val="008A700B"/>
    <w:pPr>
      <w:keepNext/>
      <w:spacing w:before="400" w:after="120" w:line="276" w:lineRule="auto"/>
      <w:outlineLvl w:val="0"/>
    </w:pPr>
    <w:rPr>
      <w:rFonts w:ascii="Arial" w:hAnsi="Arial" w:cs="Arial"/>
      <w:kern w:val="36"/>
      <w:sz w:val="40"/>
      <w:szCs w:val="40"/>
    </w:rPr>
  </w:style>
  <w:style w:type="paragraph" w:styleId="Heading2">
    <w:name w:val="heading 2"/>
    <w:basedOn w:val="Normal"/>
    <w:link w:val="Heading2Char"/>
    <w:uiPriority w:val="9"/>
    <w:semiHidden/>
    <w:unhideWhenUsed/>
    <w:qFormat/>
    <w:rsid w:val="008A700B"/>
    <w:pPr>
      <w:keepNext/>
      <w:spacing w:before="40" w:line="276"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00B"/>
    <w:rPr>
      <w:rFonts w:ascii="Arial" w:hAnsi="Arial" w:cs="Arial"/>
      <w:kern w:val="36"/>
      <w:sz w:val="40"/>
      <w:szCs w:val="40"/>
    </w:rPr>
  </w:style>
  <w:style w:type="character" w:customStyle="1" w:styleId="Heading2Char">
    <w:name w:val="Heading 2 Char"/>
    <w:basedOn w:val="DefaultParagraphFont"/>
    <w:link w:val="Heading2"/>
    <w:uiPriority w:val="9"/>
    <w:semiHidden/>
    <w:rsid w:val="008A700B"/>
    <w:rPr>
      <w:rFonts w:ascii="Calibri Light" w:hAnsi="Calibri Light" w:cs="Calibri Light"/>
      <w:color w:val="2F5496"/>
      <w:sz w:val="26"/>
      <w:szCs w:val="26"/>
    </w:rPr>
  </w:style>
  <w:style w:type="character" w:styleId="Hyperlink">
    <w:name w:val="Hyperlink"/>
    <w:basedOn w:val="DefaultParagraphFont"/>
    <w:uiPriority w:val="99"/>
    <w:semiHidden/>
    <w:unhideWhenUsed/>
    <w:rsid w:val="008A700B"/>
    <w:rPr>
      <w:color w:val="0563C1"/>
      <w:u w:val="single"/>
    </w:rPr>
  </w:style>
  <w:style w:type="paragraph" w:styleId="NoSpacing">
    <w:name w:val="No Spacing"/>
    <w:basedOn w:val="Normal"/>
    <w:uiPriority w:val="1"/>
    <w:qFormat/>
    <w:rsid w:val="008A700B"/>
  </w:style>
  <w:style w:type="paragraph" w:styleId="ListParagraph">
    <w:name w:val="List Paragraph"/>
    <w:basedOn w:val="Normal"/>
    <w:uiPriority w:val="34"/>
    <w:qFormat/>
    <w:rsid w:val="008A700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33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minarrsvp@sedgwickcms.com" TargetMode="External"/><Relationship Id="rId13" Type="http://schemas.openxmlformats.org/officeDocument/2006/relationships/hyperlink" Target="https://info.bwc.ohio.gov/wps/portal/gov/bwc/about-bwc/safety-and-hygiene/safety-and-hygiene" TargetMode="External"/><Relationship Id="rId3" Type="http://schemas.openxmlformats.org/officeDocument/2006/relationships/settings" Target="settings.xml"/><Relationship Id="rId7" Type="http://schemas.openxmlformats.org/officeDocument/2006/relationships/hyperlink" Target="mailto:seminarrsvp@sedgwickcms.com" TargetMode="External"/><Relationship Id="rId12" Type="http://schemas.openxmlformats.org/officeDocument/2006/relationships/hyperlink" Target="https://lnks.gd/l/eyJhbGciOiJIUzI1NiJ9.eyJidWxsZXRpbl9saW5rX2lkIjoxMDIsInVyaSI6ImJwMjpjbGljayIsImJ1bGxldGluX2lkIjoiMjAyMTAxMjUuMzM4ODgyMzEiLCJ1cmwiOiJodHRwczovL2luZm8uYndjLm9oaW8uZ292L3dwcy9wb3J0YWwvZ292L2J3Yy9uZXdzLWFuZC1ldmVudHMvbmV3cy9id2MtZXh0ZW5kcy1kZWFkbGluZS1mb3ItMjhtLWluZG9vci1haXItcXVhbGl0eS1hc3Npc3RhbmNlLXByb2dyYW0ifQ.F73ubmwgSr_qERK1shO1q-yjlm6B_bLcLCu7xOdj3Po/s/1150250152/br/9355517342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keting.compmgt.com/acton/form/8244/0245:d-0001/1/-/-/-/-/index.htm" TargetMode="External"/><Relationship Id="rId11" Type="http://schemas.openxmlformats.org/officeDocument/2006/relationships/hyperlink" Target="https://www.bwclearningcenter.com/learnerpage.aspx" TargetMode="External"/><Relationship Id="rId5" Type="http://schemas.openxmlformats.org/officeDocument/2006/relationships/hyperlink" Target="http://www.sedgwick.com" TargetMode="External"/><Relationship Id="rId15" Type="http://schemas.openxmlformats.org/officeDocument/2006/relationships/theme" Target="theme/theme1.xml"/><Relationship Id="rId10" Type="http://schemas.openxmlformats.org/officeDocument/2006/relationships/hyperlink" Target="https://www.youtube.com/watch?v=tIMYheWrrtc" TargetMode="External"/><Relationship Id="rId4" Type="http://schemas.openxmlformats.org/officeDocument/2006/relationships/webSettings" Target="webSettings.xml"/><Relationship Id="rId9" Type="http://schemas.openxmlformats.org/officeDocument/2006/relationships/hyperlink" Target="https://www.ohiosafetycongress.com/index.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1077</Words>
  <Characters>6140</Characters>
  <Application>Microsoft Office Word</Application>
  <DocSecurity>0</DocSecurity>
  <Lines>51</Lines>
  <Paragraphs>14</Paragraphs>
  <ScaleCrop>false</ScaleCrop>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Chapman</dc:creator>
  <cp:keywords/>
  <dc:description/>
  <cp:lastModifiedBy>Tim Chapman</cp:lastModifiedBy>
  <cp:revision>1</cp:revision>
  <dcterms:created xsi:type="dcterms:W3CDTF">2021-03-09T15:11:00Z</dcterms:created>
  <dcterms:modified xsi:type="dcterms:W3CDTF">2021-03-09T15:13:00Z</dcterms:modified>
</cp:coreProperties>
</file>